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15424" w14:textId="77777777" w:rsidR="00B77B55" w:rsidRDefault="005C069F" w:rsidP="0000648D">
      <w:pPr>
        <w:pStyle w:val="ListParagraph"/>
        <w:numPr>
          <w:ilvl w:val="0"/>
          <w:numId w:val="1"/>
        </w:numPr>
        <w:tabs>
          <w:tab w:val="left" w:pos="426"/>
        </w:tabs>
        <w:spacing w:before="240"/>
        <w:ind w:left="425" w:right="34" w:hanging="425"/>
      </w:pPr>
      <w:r>
        <w:t>In February 2021, the Queensland Government announced legislative amendments to crackdown</w:t>
      </w:r>
      <w:r>
        <w:rPr>
          <w:spacing w:val="80"/>
        </w:rPr>
        <w:t xml:space="preserve"> </w:t>
      </w:r>
      <w:r>
        <w:t>on</w:t>
      </w:r>
      <w:r>
        <w:rPr>
          <w:spacing w:val="80"/>
        </w:rPr>
        <w:t xml:space="preserve"> </w:t>
      </w:r>
      <w:r>
        <w:t>serious</w:t>
      </w:r>
      <w:r>
        <w:rPr>
          <w:spacing w:val="80"/>
        </w:rPr>
        <w:t xml:space="preserve"> </w:t>
      </w:r>
      <w:r>
        <w:t>repeat</w:t>
      </w:r>
      <w:r>
        <w:rPr>
          <w:spacing w:val="80"/>
          <w:w w:val="150"/>
        </w:rPr>
        <w:t xml:space="preserve"> </w:t>
      </w:r>
      <w:r>
        <w:t>youth</w:t>
      </w:r>
      <w:r>
        <w:rPr>
          <w:spacing w:val="80"/>
        </w:rPr>
        <w:t xml:space="preserve"> </w:t>
      </w:r>
      <w:r>
        <w:t>offending</w:t>
      </w:r>
      <w:r>
        <w:rPr>
          <w:spacing w:val="80"/>
          <w:w w:val="150"/>
        </w:rPr>
        <w:t xml:space="preserve"> </w:t>
      </w:r>
      <w:r>
        <w:t>and</w:t>
      </w:r>
      <w:r>
        <w:rPr>
          <w:spacing w:val="80"/>
        </w:rPr>
        <w:t xml:space="preserve"> </w:t>
      </w:r>
      <w:r>
        <w:t>prevent</w:t>
      </w:r>
      <w:r>
        <w:rPr>
          <w:spacing w:val="80"/>
          <w:w w:val="150"/>
        </w:rPr>
        <w:t xml:space="preserve"> </w:t>
      </w:r>
      <w:r>
        <w:t>knife</w:t>
      </w:r>
      <w:r>
        <w:rPr>
          <w:spacing w:val="80"/>
        </w:rPr>
        <w:t xml:space="preserve"> </w:t>
      </w:r>
      <w:r>
        <w:t>crime</w:t>
      </w:r>
      <w:r>
        <w:rPr>
          <w:spacing w:val="80"/>
        </w:rPr>
        <w:t xml:space="preserve"> </w:t>
      </w:r>
      <w:r>
        <w:t>and</w:t>
      </w:r>
      <w:r>
        <w:rPr>
          <w:spacing w:val="80"/>
        </w:rPr>
        <w:t xml:space="preserve"> </w:t>
      </w:r>
      <w:r>
        <w:t>hooning. Mr</w:t>
      </w:r>
      <w:r>
        <w:rPr>
          <w:spacing w:val="-5"/>
        </w:rPr>
        <w:t xml:space="preserve"> </w:t>
      </w:r>
      <w:r>
        <w:t>Bob</w:t>
      </w:r>
      <w:r>
        <w:rPr>
          <w:spacing w:val="-8"/>
        </w:rPr>
        <w:t xml:space="preserve"> </w:t>
      </w:r>
      <w:r>
        <w:t>Atkinson</w:t>
      </w:r>
      <w:r>
        <w:rPr>
          <w:spacing w:val="-5"/>
        </w:rPr>
        <w:t xml:space="preserve"> </w:t>
      </w:r>
      <w:r>
        <w:t>AO,</w:t>
      </w:r>
      <w:r>
        <w:rPr>
          <w:spacing w:val="-5"/>
        </w:rPr>
        <w:t xml:space="preserve"> </w:t>
      </w:r>
      <w:r>
        <w:t>APM</w:t>
      </w:r>
      <w:r>
        <w:rPr>
          <w:spacing w:val="-4"/>
        </w:rPr>
        <w:t xml:space="preserve"> </w:t>
      </w:r>
      <w:r>
        <w:t>was</w:t>
      </w:r>
      <w:r>
        <w:rPr>
          <w:spacing w:val="-5"/>
        </w:rPr>
        <w:t xml:space="preserve"> </w:t>
      </w:r>
      <w:r>
        <w:t>appointed</w:t>
      </w:r>
      <w:r>
        <w:rPr>
          <w:spacing w:val="-6"/>
        </w:rPr>
        <w:t xml:space="preserve"> </w:t>
      </w:r>
      <w:r>
        <w:t>to</w:t>
      </w:r>
      <w:r>
        <w:rPr>
          <w:spacing w:val="-8"/>
        </w:rPr>
        <w:t xml:space="preserve"> </w:t>
      </w:r>
      <w:r>
        <w:t>review</w:t>
      </w:r>
      <w:r>
        <w:rPr>
          <w:spacing w:val="-6"/>
        </w:rPr>
        <w:t xml:space="preserve"> </w:t>
      </w:r>
      <w:r>
        <w:t>the</w:t>
      </w:r>
      <w:r>
        <w:rPr>
          <w:spacing w:val="-6"/>
        </w:rPr>
        <w:t xml:space="preserve"> </w:t>
      </w:r>
      <w:r>
        <w:t>efficacy</w:t>
      </w:r>
      <w:r>
        <w:rPr>
          <w:spacing w:val="-8"/>
        </w:rPr>
        <w:t xml:space="preserve"> </w:t>
      </w:r>
      <w:r>
        <w:t>of</w:t>
      </w:r>
      <w:r>
        <w:rPr>
          <w:spacing w:val="-7"/>
        </w:rPr>
        <w:t xml:space="preserve"> </w:t>
      </w:r>
      <w:r>
        <w:t>these</w:t>
      </w:r>
      <w:r>
        <w:rPr>
          <w:spacing w:val="-8"/>
        </w:rPr>
        <w:t xml:space="preserve"> </w:t>
      </w:r>
      <w:r>
        <w:t>reforms</w:t>
      </w:r>
      <w:r>
        <w:rPr>
          <w:spacing w:val="-5"/>
        </w:rPr>
        <w:t xml:space="preserve"> </w:t>
      </w:r>
      <w:r>
        <w:t>and</w:t>
      </w:r>
      <w:r>
        <w:rPr>
          <w:spacing w:val="-8"/>
        </w:rPr>
        <w:t xml:space="preserve"> </w:t>
      </w:r>
      <w:r>
        <w:t>supporting policy initiatives after six months.</w:t>
      </w:r>
    </w:p>
    <w:p w14:paraId="60C2FB57" w14:textId="77777777" w:rsidR="003E2ED7" w:rsidRPr="003E2ED7" w:rsidRDefault="005C069F" w:rsidP="0000648D">
      <w:pPr>
        <w:pStyle w:val="ListParagraph"/>
        <w:numPr>
          <w:ilvl w:val="0"/>
          <w:numId w:val="1"/>
        </w:numPr>
        <w:tabs>
          <w:tab w:val="left" w:pos="426"/>
        </w:tabs>
        <w:spacing w:before="240"/>
        <w:ind w:left="425" w:right="34" w:hanging="425"/>
      </w:pPr>
      <w:r>
        <w:t xml:space="preserve">The focus of the review was on the implementation of the reforms made by the </w:t>
      </w:r>
      <w:r>
        <w:rPr>
          <w:i/>
        </w:rPr>
        <w:t>Youth Justice and</w:t>
      </w:r>
      <w:r>
        <w:rPr>
          <w:i/>
          <w:spacing w:val="40"/>
        </w:rPr>
        <w:t xml:space="preserve"> </w:t>
      </w:r>
      <w:r>
        <w:rPr>
          <w:i/>
        </w:rPr>
        <w:t>Other</w:t>
      </w:r>
      <w:r>
        <w:rPr>
          <w:i/>
          <w:spacing w:val="40"/>
        </w:rPr>
        <w:t xml:space="preserve"> </w:t>
      </w:r>
      <w:r>
        <w:rPr>
          <w:i/>
        </w:rPr>
        <w:t>Legislation</w:t>
      </w:r>
      <w:r>
        <w:rPr>
          <w:i/>
          <w:spacing w:val="40"/>
        </w:rPr>
        <w:t xml:space="preserve"> </w:t>
      </w:r>
      <w:r>
        <w:rPr>
          <w:i/>
        </w:rPr>
        <w:t>Amendment</w:t>
      </w:r>
      <w:r>
        <w:rPr>
          <w:i/>
          <w:spacing w:val="40"/>
        </w:rPr>
        <w:t xml:space="preserve"> </w:t>
      </w:r>
      <w:r>
        <w:rPr>
          <w:i/>
        </w:rPr>
        <w:t>Act</w:t>
      </w:r>
      <w:r>
        <w:rPr>
          <w:i/>
          <w:spacing w:val="40"/>
        </w:rPr>
        <w:t xml:space="preserve"> </w:t>
      </w:r>
      <w:r>
        <w:rPr>
          <w:i/>
        </w:rPr>
        <w:t>2021</w:t>
      </w:r>
      <w:r>
        <w:rPr>
          <w:i/>
          <w:spacing w:val="40"/>
        </w:rPr>
        <w:t xml:space="preserve"> </w:t>
      </w:r>
      <w:r>
        <w:t>between</w:t>
      </w:r>
      <w:r>
        <w:rPr>
          <w:spacing w:val="40"/>
        </w:rPr>
        <w:t xml:space="preserve"> </w:t>
      </w:r>
      <w:r>
        <w:t>30</w:t>
      </w:r>
      <w:r>
        <w:rPr>
          <w:spacing w:val="40"/>
        </w:rPr>
        <w:t xml:space="preserve"> </w:t>
      </w:r>
      <w:r>
        <w:t>April</w:t>
      </w:r>
      <w:r>
        <w:rPr>
          <w:spacing w:val="40"/>
        </w:rPr>
        <w:t xml:space="preserve"> </w:t>
      </w:r>
      <w:r>
        <w:t>2021</w:t>
      </w:r>
      <w:r>
        <w:rPr>
          <w:spacing w:val="40"/>
        </w:rPr>
        <w:t xml:space="preserve"> </w:t>
      </w:r>
      <w:r>
        <w:t>to</w:t>
      </w:r>
      <w:r>
        <w:rPr>
          <w:spacing w:val="40"/>
        </w:rPr>
        <w:t xml:space="preserve"> </w:t>
      </w:r>
      <w:r>
        <w:t>31</w:t>
      </w:r>
      <w:r>
        <w:rPr>
          <w:spacing w:val="40"/>
        </w:rPr>
        <w:t xml:space="preserve"> </w:t>
      </w:r>
      <w:r>
        <w:t>October</w:t>
      </w:r>
      <w:r>
        <w:rPr>
          <w:spacing w:val="40"/>
        </w:rPr>
        <w:t xml:space="preserve"> </w:t>
      </w:r>
      <w:r>
        <w:t>2021 (first</w:t>
      </w:r>
      <w:r>
        <w:rPr>
          <w:spacing w:val="-12"/>
        </w:rPr>
        <w:t xml:space="preserve"> </w:t>
      </w:r>
      <w:r>
        <w:t>six</w:t>
      </w:r>
      <w:r>
        <w:rPr>
          <w:spacing w:val="-13"/>
        </w:rPr>
        <w:t xml:space="preserve"> </w:t>
      </w:r>
      <w:r>
        <w:t>months</w:t>
      </w:r>
      <w:r>
        <w:rPr>
          <w:spacing w:val="-16"/>
        </w:rPr>
        <w:t xml:space="preserve"> </w:t>
      </w:r>
      <w:r>
        <w:t>following</w:t>
      </w:r>
      <w:r>
        <w:rPr>
          <w:spacing w:val="-11"/>
        </w:rPr>
        <w:t xml:space="preserve"> </w:t>
      </w:r>
      <w:r>
        <w:t>the</w:t>
      </w:r>
      <w:r>
        <w:rPr>
          <w:spacing w:val="-14"/>
        </w:rPr>
        <w:t xml:space="preserve"> </w:t>
      </w:r>
      <w:r>
        <w:t>commencement</w:t>
      </w:r>
      <w:r>
        <w:rPr>
          <w:spacing w:val="-12"/>
        </w:rPr>
        <w:t xml:space="preserve"> </w:t>
      </w:r>
      <w:r>
        <w:t>of</w:t>
      </w:r>
      <w:r>
        <w:rPr>
          <w:spacing w:val="-15"/>
        </w:rPr>
        <w:t xml:space="preserve"> </w:t>
      </w:r>
      <w:r>
        <w:t>the</w:t>
      </w:r>
      <w:r>
        <w:rPr>
          <w:spacing w:val="-11"/>
        </w:rPr>
        <w:t xml:space="preserve"> </w:t>
      </w:r>
      <w:r>
        <w:t>reforms).</w:t>
      </w:r>
      <w:r>
        <w:rPr>
          <w:spacing w:val="-10"/>
        </w:rPr>
        <w:t xml:space="preserve"> </w:t>
      </w:r>
    </w:p>
    <w:p w14:paraId="72715426" w14:textId="179757FD" w:rsidR="00B77B55" w:rsidRDefault="005C069F" w:rsidP="0000648D">
      <w:pPr>
        <w:pStyle w:val="ListParagraph"/>
        <w:numPr>
          <w:ilvl w:val="0"/>
          <w:numId w:val="1"/>
        </w:numPr>
        <w:tabs>
          <w:tab w:val="left" w:pos="426"/>
        </w:tabs>
        <w:spacing w:before="240"/>
        <w:ind w:left="425" w:right="34" w:hanging="425"/>
      </w:pPr>
      <w:r>
        <w:t>On</w:t>
      </w:r>
      <w:r>
        <w:rPr>
          <w:spacing w:val="-14"/>
        </w:rPr>
        <w:t xml:space="preserve"> </w:t>
      </w:r>
      <w:r w:rsidR="001532D7">
        <w:t>22 March 2022</w:t>
      </w:r>
      <w:r>
        <w:t>,</w:t>
      </w:r>
      <w:r>
        <w:rPr>
          <w:spacing w:val="-14"/>
        </w:rPr>
        <w:t xml:space="preserve"> </w:t>
      </w:r>
      <w:r>
        <w:t>Mr</w:t>
      </w:r>
      <w:r>
        <w:rPr>
          <w:spacing w:val="-12"/>
        </w:rPr>
        <w:t xml:space="preserve"> </w:t>
      </w:r>
      <w:r>
        <w:t xml:space="preserve">Atkinson provided the </w:t>
      </w:r>
      <w:r>
        <w:rPr>
          <w:i/>
        </w:rPr>
        <w:t xml:space="preserve">Youth Justice Reforms Review Report </w:t>
      </w:r>
      <w:r>
        <w:t>to the Minister for Police and Corrective Services and Minister for Fire and Emergency Services and Minister for Children and Youth Justice and Minister for Multicultural Affairs for further consideration.</w:t>
      </w:r>
    </w:p>
    <w:p w14:paraId="72715428" w14:textId="77777777" w:rsidR="00B77B55" w:rsidRDefault="005C069F" w:rsidP="0000648D">
      <w:pPr>
        <w:pStyle w:val="ListParagraph"/>
        <w:numPr>
          <w:ilvl w:val="0"/>
          <w:numId w:val="1"/>
        </w:numPr>
        <w:tabs>
          <w:tab w:val="left" w:pos="426"/>
        </w:tabs>
        <w:spacing w:before="240"/>
        <w:ind w:left="425" w:right="34" w:hanging="425"/>
      </w:pPr>
      <w:r>
        <w:t>The Report found that overall implementation of the reforms has proceeded well, although the reforms are at differing levels of implementation and vary in terms of the ability to assess their efficacy. The Report found that the reforms in which the stakeholders had the highest level of confidence of long-term efficacy are the presumption against bail for (alleged) serious repeat offenders,</w:t>
      </w:r>
      <w:r>
        <w:rPr>
          <w:spacing w:val="-12"/>
        </w:rPr>
        <w:t xml:space="preserve"> </w:t>
      </w:r>
      <w:r>
        <w:t>youth</w:t>
      </w:r>
      <w:r>
        <w:rPr>
          <w:spacing w:val="-14"/>
        </w:rPr>
        <w:t xml:space="preserve"> </w:t>
      </w:r>
      <w:r>
        <w:t>co-responder</w:t>
      </w:r>
      <w:r>
        <w:rPr>
          <w:spacing w:val="-13"/>
        </w:rPr>
        <w:t xml:space="preserve"> </w:t>
      </w:r>
      <w:r>
        <w:t>teams,</w:t>
      </w:r>
      <w:r>
        <w:rPr>
          <w:spacing w:val="-15"/>
        </w:rPr>
        <w:t xml:space="preserve"> </w:t>
      </w:r>
      <w:r>
        <w:t>the</w:t>
      </w:r>
      <w:r>
        <w:rPr>
          <w:spacing w:val="-14"/>
        </w:rPr>
        <w:t xml:space="preserve"> </w:t>
      </w:r>
      <w:r>
        <w:t>metal</w:t>
      </w:r>
      <w:r>
        <w:rPr>
          <w:spacing w:val="-12"/>
        </w:rPr>
        <w:t xml:space="preserve"> </w:t>
      </w:r>
      <w:r>
        <w:t>detection</w:t>
      </w:r>
      <w:r>
        <w:rPr>
          <w:spacing w:val="-14"/>
        </w:rPr>
        <w:t xml:space="preserve"> </w:t>
      </w:r>
      <w:r>
        <w:t>‘wanding’</w:t>
      </w:r>
      <w:r>
        <w:rPr>
          <w:spacing w:val="-12"/>
        </w:rPr>
        <w:t xml:space="preserve"> </w:t>
      </w:r>
      <w:r>
        <w:t>trial,</w:t>
      </w:r>
      <w:r>
        <w:rPr>
          <w:spacing w:val="-10"/>
        </w:rPr>
        <w:t xml:space="preserve"> </w:t>
      </w:r>
      <w:r>
        <w:t>and</w:t>
      </w:r>
      <w:r>
        <w:rPr>
          <w:spacing w:val="-12"/>
        </w:rPr>
        <w:t xml:space="preserve"> </w:t>
      </w:r>
      <w:r>
        <w:t>hooning</w:t>
      </w:r>
      <w:r>
        <w:rPr>
          <w:spacing w:val="-14"/>
        </w:rPr>
        <w:t xml:space="preserve"> </w:t>
      </w:r>
      <w:r>
        <w:t>legislation.</w:t>
      </w:r>
    </w:p>
    <w:p w14:paraId="7271542A" w14:textId="0AF1A164" w:rsidR="00B77B55" w:rsidRDefault="005C069F" w:rsidP="0000648D">
      <w:pPr>
        <w:pStyle w:val="ListParagraph"/>
        <w:numPr>
          <w:ilvl w:val="0"/>
          <w:numId w:val="1"/>
        </w:numPr>
        <w:tabs>
          <w:tab w:val="left" w:pos="426"/>
        </w:tabs>
        <w:spacing w:before="240"/>
        <w:ind w:left="425" w:right="34" w:hanging="425"/>
      </w:pPr>
      <w:r>
        <w:rPr>
          <w:u w:val="single"/>
        </w:rPr>
        <w:t>Cabinet approved</w:t>
      </w:r>
      <w:r>
        <w:t xml:space="preserve"> the publication of the </w:t>
      </w:r>
      <w:r>
        <w:rPr>
          <w:i/>
        </w:rPr>
        <w:t>Youth Justice Reforms Review Final Report</w:t>
      </w:r>
      <w:r>
        <w:t>.</w:t>
      </w:r>
    </w:p>
    <w:p w14:paraId="7271542C" w14:textId="07C3CDF5" w:rsidR="00B77B55" w:rsidRDefault="005C069F" w:rsidP="0000648D">
      <w:pPr>
        <w:pStyle w:val="ListParagraph"/>
        <w:numPr>
          <w:ilvl w:val="0"/>
          <w:numId w:val="1"/>
        </w:numPr>
        <w:tabs>
          <w:tab w:val="left" w:pos="426"/>
        </w:tabs>
        <w:spacing w:before="360"/>
        <w:ind w:left="425" w:right="34" w:hanging="425"/>
        <w:rPr>
          <w:i/>
        </w:rPr>
      </w:pPr>
      <w:r>
        <w:rPr>
          <w:i/>
          <w:spacing w:val="-2"/>
          <w:u w:val="single"/>
        </w:rPr>
        <w:t>Attachment</w:t>
      </w:r>
      <w:r w:rsidR="00B542E3" w:rsidRPr="00B542E3">
        <w:rPr>
          <w:iCs/>
          <w:spacing w:val="-2"/>
        </w:rPr>
        <w:t>:</w:t>
      </w:r>
    </w:p>
    <w:p w14:paraId="7271542E" w14:textId="4B2F5705" w:rsidR="00B77B55" w:rsidRPr="00A63832" w:rsidRDefault="00261DBC" w:rsidP="0000648D">
      <w:pPr>
        <w:pStyle w:val="ListParagraph"/>
        <w:numPr>
          <w:ilvl w:val="1"/>
          <w:numId w:val="1"/>
        </w:numPr>
        <w:spacing w:before="120"/>
        <w:ind w:left="850" w:right="34" w:hanging="425"/>
        <w:jc w:val="left"/>
        <w:rPr>
          <w:iCs/>
        </w:rPr>
      </w:pPr>
      <w:hyperlink r:id="rId9" w:history="1">
        <w:r w:rsidR="005C069F" w:rsidRPr="00A63832">
          <w:rPr>
            <w:rStyle w:val="Hyperlink"/>
            <w:iCs/>
          </w:rPr>
          <w:t>Youth</w:t>
        </w:r>
        <w:r w:rsidR="005C069F" w:rsidRPr="00A63832">
          <w:rPr>
            <w:rStyle w:val="Hyperlink"/>
            <w:iCs/>
            <w:spacing w:val="-8"/>
          </w:rPr>
          <w:t xml:space="preserve"> </w:t>
        </w:r>
        <w:r w:rsidR="005C069F" w:rsidRPr="00A63832">
          <w:rPr>
            <w:rStyle w:val="Hyperlink"/>
            <w:iCs/>
          </w:rPr>
          <w:t>Justice</w:t>
        </w:r>
        <w:r w:rsidR="005C069F" w:rsidRPr="00A63832">
          <w:rPr>
            <w:rStyle w:val="Hyperlink"/>
            <w:iCs/>
            <w:spacing w:val="-6"/>
          </w:rPr>
          <w:t xml:space="preserve"> </w:t>
        </w:r>
        <w:r w:rsidR="005C069F" w:rsidRPr="00A63832">
          <w:rPr>
            <w:rStyle w:val="Hyperlink"/>
            <w:iCs/>
          </w:rPr>
          <w:t>Reforms</w:t>
        </w:r>
        <w:r w:rsidR="005C069F" w:rsidRPr="00A63832">
          <w:rPr>
            <w:rStyle w:val="Hyperlink"/>
            <w:iCs/>
            <w:spacing w:val="-5"/>
          </w:rPr>
          <w:t xml:space="preserve"> </w:t>
        </w:r>
        <w:r w:rsidR="005C069F" w:rsidRPr="00A63832">
          <w:rPr>
            <w:rStyle w:val="Hyperlink"/>
            <w:iCs/>
          </w:rPr>
          <w:t>Review</w:t>
        </w:r>
        <w:r w:rsidR="005C069F" w:rsidRPr="00A63832">
          <w:rPr>
            <w:rStyle w:val="Hyperlink"/>
            <w:iCs/>
            <w:spacing w:val="-7"/>
          </w:rPr>
          <w:t xml:space="preserve"> </w:t>
        </w:r>
        <w:r w:rsidR="005C069F" w:rsidRPr="00A63832">
          <w:rPr>
            <w:rStyle w:val="Hyperlink"/>
            <w:iCs/>
          </w:rPr>
          <w:t>Final</w:t>
        </w:r>
        <w:r w:rsidR="005C069F" w:rsidRPr="00A63832">
          <w:rPr>
            <w:rStyle w:val="Hyperlink"/>
            <w:iCs/>
            <w:spacing w:val="-5"/>
          </w:rPr>
          <w:t xml:space="preserve"> </w:t>
        </w:r>
        <w:r w:rsidR="005C069F" w:rsidRPr="00A63832">
          <w:rPr>
            <w:rStyle w:val="Hyperlink"/>
            <w:iCs/>
            <w:spacing w:val="-2"/>
          </w:rPr>
          <w:t>Report</w:t>
        </w:r>
      </w:hyperlink>
    </w:p>
    <w:sectPr w:rsidR="00B77B55" w:rsidRPr="00A63832" w:rsidSect="00961A24">
      <w:headerReference w:type="default" r:id="rId10"/>
      <w:pgSz w:w="11907"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A107" w14:textId="77777777" w:rsidR="00FA6D26" w:rsidRDefault="00FA6D26" w:rsidP="00B542E3">
      <w:r>
        <w:separator/>
      </w:r>
    </w:p>
  </w:endnote>
  <w:endnote w:type="continuationSeparator" w:id="0">
    <w:p w14:paraId="227CE2F4" w14:textId="77777777" w:rsidR="00FA6D26" w:rsidRDefault="00FA6D26" w:rsidP="00B5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CAAA" w14:textId="77777777" w:rsidR="00FA6D26" w:rsidRDefault="00FA6D26" w:rsidP="00B542E3">
      <w:r>
        <w:separator/>
      </w:r>
    </w:p>
  </w:footnote>
  <w:footnote w:type="continuationSeparator" w:id="0">
    <w:p w14:paraId="16BBC69C" w14:textId="77777777" w:rsidR="00FA6D26" w:rsidRDefault="00FA6D26" w:rsidP="00B5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0014" w14:textId="77777777" w:rsidR="00B542E3" w:rsidRPr="00937A4A" w:rsidRDefault="00B542E3" w:rsidP="00B542E3">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2442EF96" w14:textId="77777777" w:rsidR="00B542E3" w:rsidRPr="00937A4A" w:rsidRDefault="00B542E3" w:rsidP="00B542E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36EE0BAF" w14:textId="58FC4866" w:rsidR="00B542E3" w:rsidRPr="00937A4A" w:rsidRDefault="00B542E3" w:rsidP="00B542E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April 2022</w:t>
    </w:r>
  </w:p>
  <w:p w14:paraId="65430945" w14:textId="4DF6568D" w:rsidR="00B542E3" w:rsidRDefault="00B542E3" w:rsidP="00B542E3">
    <w:pPr>
      <w:pStyle w:val="Header"/>
      <w:spacing w:before="120"/>
      <w:rPr>
        <w:b/>
        <w:u w:val="single"/>
      </w:rPr>
    </w:pPr>
    <w:r w:rsidRPr="00B542E3">
      <w:rPr>
        <w:b/>
        <w:u w:val="single"/>
      </w:rPr>
      <w:t>Youth Justice Reforms Review Final Report</w:t>
    </w:r>
  </w:p>
  <w:p w14:paraId="57C78DF5" w14:textId="292B85C7" w:rsidR="00B542E3" w:rsidRDefault="00B542E3" w:rsidP="00B542E3">
    <w:pPr>
      <w:pStyle w:val="Header"/>
      <w:spacing w:before="120"/>
      <w:rPr>
        <w:b/>
        <w:u w:val="single"/>
      </w:rPr>
    </w:pPr>
    <w:r w:rsidRPr="00B542E3">
      <w:rPr>
        <w:b/>
        <w:u w:val="single"/>
      </w:rPr>
      <w:t>Minister for Children and Youth Justice and Minister for Multicultural Affairs</w:t>
    </w:r>
  </w:p>
  <w:p w14:paraId="05B7F98A" w14:textId="14BC163C" w:rsidR="00B542E3" w:rsidRDefault="00B542E3" w:rsidP="0000648D">
    <w:pPr>
      <w:pStyle w:val="Header"/>
      <w:rPr>
        <w:b/>
        <w:u w:val="single"/>
      </w:rPr>
    </w:pPr>
    <w:r w:rsidRPr="00B542E3">
      <w:rPr>
        <w:b/>
        <w:u w:val="single"/>
      </w:rPr>
      <w:t>Minister for Police and Corrective Services and Minister for Fire and Emergency Services</w:t>
    </w:r>
  </w:p>
  <w:p w14:paraId="1D9DCD71" w14:textId="77777777" w:rsidR="00B542E3" w:rsidRDefault="00B542E3" w:rsidP="00B542E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18B"/>
    <w:multiLevelType w:val="hybridMultilevel"/>
    <w:tmpl w:val="68EEE63C"/>
    <w:lvl w:ilvl="0" w:tplc="3112C746">
      <w:start w:val="1"/>
      <w:numFmt w:val="decimal"/>
      <w:lvlText w:val="%1."/>
      <w:lvlJc w:val="left"/>
      <w:pPr>
        <w:ind w:left="573" w:hanging="360"/>
      </w:pPr>
      <w:rPr>
        <w:rFonts w:ascii="Arial" w:eastAsia="Arial" w:hAnsi="Arial" w:cs="Arial" w:hint="default"/>
        <w:b w:val="0"/>
        <w:bCs w:val="0"/>
        <w:i w:val="0"/>
        <w:iCs w:val="0"/>
        <w:spacing w:val="-5"/>
        <w:w w:val="97"/>
        <w:sz w:val="22"/>
        <w:szCs w:val="22"/>
        <w:lang w:val="en-AU" w:eastAsia="en-US" w:bidi="ar-SA"/>
      </w:rPr>
    </w:lvl>
    <w:lvl w:ilvl="1" w:tplc="75ACD2D4">
      <w:numFmt w:val="bullet"/>
      <w:lvlText w:val=""/>
      <w:lvlJc w:val="left"/>
      <w:pPr>
        <w:ind w:left="1024" w:hanging="454"/>
      </w:pPr>
      <w:rPr>
        <w:rFonts w:ascii="Symbol" w:eastAsia="Symbol" w:hAnsi="Symbol" w:cs="Symbol" w:hint="default"/>
        <w:b w:val="0"/>
        <w:bCs w:val="0"/>
        <w:i w:val="0"/>
        <w:iCs w:val="0"/>
        <w:w w:val="98"/>
        <w:sz w:val="22"/>
        <w:szCs w:val="22"/>
        <w:lang w:val="en-AU" w:eastAsia="en-US" w:bidi="ar-SA"/>
      </w:rPr>
    </w:lvl>
    <w:lvl w:ilvl="2" w:tplc="C30E6EAC">
      <w:numFmt w:val="bullet"/>
      <w:lvlText w:val="•"/>
      <w:lvlJc w:val="left"/>
      <w:pPr>
        <w:ind w:left="2027" w:hanging="454"/>
      </w:pPr>
      <w:rPr>
        <w:rFonts w:hint="default"/>
        <w:lang w:val="en-AU" w:eastAsia="en-US" w:bidi="ar-SA"/>
      </w:rPr>
    </w:lvl>
    <w:lvl w:ilvl="3" w:tplc="441C7BBC">
      <w:numFmt w:val="bullet"/>
      <w:lvlText w:val="•"/>
      <w:lvlJc w:val="left"/>
      <w:pPr>
        <w:ind w:left="3035" w:hanging="454"/>
      </w:pPr>
      <w:rPr>
        <w:rFonts w:hint="default"/>
        <w:lang w:val="en-AU" w:eastAsia="en-US" w:bidi="ar-SA"/>
      </w:rPr>
    </w:lvl>
    <w:lvl w:ilvl="4" w:tplc="3DD6A4BA">
      <w:numFmt w:val="bullet"/>
      <w:lvlText w:val="•"/>
      <w:lvlJc w:val="left"/>
      <w:pPr>
        <w:ind w:left="4043" w:hanging="454"/>
      </w:pPr>
      <w:rPr>
        <w:rFonts w:hint="default"/>
        <w:lang w:val="en-AU" w:eastAsia="en-US" w:bidi="ar-SA"/>
      </w:rPr>
    </w:lvl>
    <w:lvl w:ilvl="5" w:tplc="2522D2AC">
      <w:numFmt w:val="bullet"/>
      <w:lvlText w:val="•"/>
      <w:lvlJc w:val="left"/>
      <w:pPr>
        <w:ind w:left="5051" w:hanging="454"/>
      </w:pPr>
      <w:rPr>
        <w:rFonts w:hint="default"/>
        <w:lang w:val="en-AU" w:eastAsia="en-US" w:bidi="ar-SA"/>
      </w:rPr>
    </w:lvl>
    <w:lvl w:ilvl="6" w:tplc="C546A95E">
      <w:numFmt w:val="bullet"/>
      <w:lvlText w:val="•"/>
      <w:lvlJc w:val="left"/>
      <w:pPr>
        <w:ind w:left="6059" w:hanging="454"/>
      </w:pPr>
      <w:rPr>
        <w:rFonts w:hint="default"/>
        <w:lang w:val="en-AU" w:eastAsia="en-US" w:bidi="ar-SA"/>
      </w:rPr>
    </w:lvl>
    <w:lvl w:ilvl="7" w:tplc="E93400B6">
      <w:numFmt w:val="bullet"/>
      <w:lvlText w:val="•"/>
      <w:lvlJc w:val="left"/>
      <w:pPr>
        <w:ind w:left="7067" w:hanging="454"/>
      </w:pPr>
      <w:rPr>
        <w:rFonts w:hint="default"/>
        <w:lang w:val="en-AU" w:eastAsia="en-US" w:bidi="ar-SA"/>
      </w:rPr>
    </w:lvl>
    <w:lvl w:ilvl="8" w:tplc="BEDA2902">
      <w:numFmt w:val="bullet"/>
      <w:lvlText w:val="•"/>
      <w:lvlJc w:val="left"/>
      <w:pPr>
        <w:ind w:left="8075" w:hanging="454"/>
      </w:pPr>
      <w:rPr>
        <w:rFonts w:hint="default"/>
        <w:lang w:val="en-AU" w:eastAsia="en-US" w:bidi="ar-SA"/>
      </w:rPr>
    </w:lvl>
  </w:abstractNum>
  <w:num w:numId="1" w16cid:durableId="96046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55"/>
    <w:rsid w:val="0000648D"/>
    <w:rsid w:val="001532D7"/>
    <w:rsid w:val="00261DBC"/>
    <w:rsid w:val="00294791"/>
    <w:rsid w:val="003E2ED7"/>
    <w:rsid w:val="005C069F"/>
    <w:rsid w:val="005C1CE4"/>
    <w:rsid w:val="00642972"/>
    <w:rsid w:val="006C55CB"/>
    <w:rsid w:val="006D710D"/>
    <w:rsid w:val="006D7892"/>
    <w:rsid w:val="007E643C"/>
    <w:rsid w:val="00811365"/>
    <w:rsid w:val="00955E67"/>
    <w:rsid w:val="00961A24"/>
    <w:rsid w:val="00A63832"/>
    <w:rsid w:val="00B542E3"/>
    <w:rsid w:val="00B77B55"/>
    <w:rsid w:val="00BE28DA"/>
    <w:rsid w:val="00C14A51"/>
    <w:rsid w:val="00C35FB6"/>
    <w:rsid w:val="00EE7F45"/>
    <w:rsid w:val="00FA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45" w:right="348" w:hanging="2"/>
      <w:jc w:val="center"/>
    </w:pPr>
    <w:rPr>
      <w:b/>
      <w:bCs/>
      <w:sz w:val="52"/>
      <w:szCs w:val="52"/>
    </w:rPr>
  </w:style>
  <w:style w:type="paragraph" w:styleId="ListParagraph">
    <w:name w:val="List Paragraph"/>
    <w:basedOn w:val="Normal"/>
    <w:uiPriority w:val="1"/>
    <w:qFormat/>
    <w:pPr>
      <w:ind w:left="573"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B542E3"/>
    <w:pPr>
      <w:widowControl/>
      <w:autoSpaceDE/>
      <w:autoSpaceDN/>
    </w:pPr>
    <w:rPr>
      <w:rFonts w:ascii="Arial" w:eastAsia="Arial" w:hAnsi="Arial" w:cs="Arial"/>
      <w:lang w:val="en-AU"/>
    </w:rPr>
  </w:style>
  <w:style w:type="paragraph" w:styleId="Header">
    <w:name w:val="header"/>
    <w:basedOn w:val="Normal"/>
    <w:link w:val="HeaderChar"/>
    <w:uiPriority w:val="99"/>
    <w:unhideWhenUsed/>
    <w:rsid w:val="00B542E3"/>
    <w:pPr>
      <w:tabs>
        <w:tab w:val="center" w:pos="4680"/>
        <w:tab w:val="right" w:pos="9360"/>
      </w:tabs>
    </w:pPr>
  </w:style>
  <w:style w:type="character" w:customStyle="1" w:styleId="HeaderChar">
    <w:name w:val="Header Char"/>
    <w:basedOn w:val="DefaultParagraphFont"/>
    <w:link w:val="Header"/>
    <w:uiPriority w:val="99"/>
    <w:rsid w:val="00B542E3"/>
    <w:rPr>
      <w:rFonts w:ascii="Arial" w:eastAsia="Arial" w:hAnsi="Arial" w:cs="Arial"/>
      <w:lang w:val="en-AU"/>
    </w:rPr>
  </w:style>
  <w:style w:type="paragraph" w:styleId="Footer">
    <w:name w:val="footer"/>
    <w:basedOn w:val="Normal"/>
    <w:link w:val="FooterChar"/>
    <w:uiPriority w:val="99"/>
    <w:unhideWhenUsed/>
    <w:rsid w:val="00B542E3"/>
    <w:pPr>
      <w:tabs>
        <w:tab w:val="center" w:pos="4680"/>
        <w:tab w:val="right" w:pos="9360"/>
      </w:tabs>
    </w:pPr>
  </w:style>
  <w:style w:type="character" w:customStyle="1" w:styleId="FooterChar">
    <w:name w:val="Footer Char"/>
    <w:basedOn w:val="DefaultParagraphFont"/>
    <w:link w:val="Footer"/>
    <w:uiPriority w:val="99"/>
    <w:rsid w:val="00B542E3"/>
    <w:rPr>
      <w:rFonts w:ascii="Arial" w:eastAsia="Arial" w:hAnsi="Arial" w:cs="Arial"/>
      <w:lang w:val="en-AU"/>
    </w:rPr>
  </w:style>
  <w:style w:type="character" w:styleId="Hyperlink">
    <w:name w:val="Hyperlink"/>
    <w:basedOn w:val="DefaultParagraphFont"/>
    <w:uiPriority w:val="99"/>
    <w:unhideWhenUsed/>
    <w:rsid w:val="00C14A51"/>
    <w:rPr>
      <w:color w:val="0000FF" w:themeColor="hyperlink"/>
      <w:u w:val="single"/>
    </w:rPr>
  </w:style>
  <w:style w:type="character" w:styleId="UnresolvedMention">
    <w:name w:val="Unresolved Mention"/>
    <w:basedOn w:val="DefaultParagraphFont"/>
    <w:uiPriority w:val="99"/>
    <w:semiHidden/>
    <w:unhideWhenUsed/>
    <w:rsid w:val="00C1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2/Apr/RepYJReform/Attachment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197F6-3380-476D-88F2-3A09A74AB85A}">
  <ds:schemaRefs>
    <ds:schemaRef ds:uri="http://schemas.microsoft.com/sharepoint/v3/contenttype/forms"/>
  </ds:schemaRefs>
</ds:datastoreItem>
</file>

<file path=customXml/itemProps2.xml><?xml version="1.0" encoding="utf-8"?>
<ds:datastoreItem xmlns:ds="http://schemas.openxmlformats.org/officeDocument/2006/customXml" ds:itemID="{CFDF859F-1DEB-401F-860C-0CE5A069D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223</Words>
  <Characters>1225</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Base>https://www.cabinet.qld.gov.au/documents/2022/Apr/RepYJReform/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dcterms:created xsi:type="dcterms:W3CDTF">2022-03-31T02:30:00Z</dcterms:created>
  <dcterms:modified xsi:type="dcterms:W3CDTF">2024-09-17T01:17:00Z</dcterms:modified>
  <cp:category>Youth_Justice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for Microsoft 365</vt:lpwstr>
  </property>
  <property fmtid="{D5CDD505-2E9C-101B-9397-08002B2CF9AE}" pid="4" name="LastSaved">
    <vt:filetime>2022-03-31T00:00:00Z</vt:filetime>
  </property>
</Properties>
</file>